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60" w:line="264" w:lineRule="auto"/>
        <w:ind/>
        <w:jc w:val="center"/>
        <w:rPr>
          <w:sz w:val="28"/>
        </w:rPr>
      </w:pPr>
      <w:r>
        <w:rPr>
          <w:b w:val="1"/>
          <w:sz w:val="28"/>
        </w:rPr>
        <w:t xml:space="preserve">Ассоциация                                                                                              </w:t>
      </w:r>
      <w:r>
        <w:rPr>
          <w:b w:val="1"/>
          <w:sz w:val="28"/>
        </w:rPr>
        <w:t>м</w:t>
      </w:r>
      <w:r>
        <w:rPr>
          <w:b w:val="1"/>
          <w:sz w:val="28"/>
        </w:rPr>
        <w:t xml:space="preserve">едицинских частных клиник Кемеровской области                        </w:t>
      </w:r>
      <w:r>
        <w:rPr>
          <w:b w:val="1"/>
          <w:sz w:val="28"/>
        </w:rPr>
        <w:t xml:space="preserve">    </w:t>
      </w:r>
      <w:r>
        <w:rPr>
          <w:b w:val="1"/>
          <w:sz w:val="28"/>
        </w:rPr>
        <w:t xml:space="preserve">       </w:t>
      </w:r>
      <w:r>
        <w:rPr>
          <w:sz w:val="28"/>
        </w:rPr>
        <w:t xml:space="preserve">Кемеровская область, 650002, г. Кемерово, проспект Шахтеров,47, </w:t>
      </w:r>
      <w:r>
        <w:rPr>
          <w:sz w:val="28"/>
        </w:rPr>
        <w:t xml:space="preserve">    </w:t>
      </w:r>
      <w:r>
        <w:rPr>
          <w:sz w:val="28"/>
        </w:rPr>
        <w:t>тел</w:t>
      </w:r>
      <w:r>
        <w:rPr>
          <w:sz w:val="28"/>
        </w:rPr>
        <w:t>.8(3</w:t>
      </w:r>
      <w:r>
        <w:rPr>
          <w:sz w:val="28"/>
        </w:rPr>
        <w:t>842)</w:t>
      </w:r>
      <w:r>
        <w:rPr>
          <w:sz w:val="28"/>
        </w:rPr>
        <w:t xml:space="preserve"> 34-28-58,</w:t>
      </w:r>
      <w:r>
        <w:rPr>
          <w:sz w:val="28"/>
        </w:rPr>
        <w:t xml:space="preserve"> </w:t>
      </w:r>
      <w:r>
        <w:rPr>
          <w:sz w:val="28"/>
        </w:rPr>
        <w:t>e</w:t>
      </w:r>
      <w:r>
        <w:rPr>
          <w:sz w:val="28"/>
        </w:rPr>
        <w:t>-</w:t>
      </w:r>
      <w:r>
        <w:rPr>
          <w:sz w:val="28"/>
        </w:rPr>
        <w:t>mail</w:t>
      </w:r>
      <w:r>
        <w:rPr>
          <w:sz w:val="28"/>
        </w:rPr>
        <w:t xml:space="preserve"> </w:t>
      </w:r>
      <w:r>
        <w:rPr>
          <w:color w:val="0563C1"/>
          <w:sz w:val="28"/>
          <w:u w:val="single"/>
        </w:rPr>
        <w:fldChar w:fldCharType="begin"/>
      </w:r>
      <w:r>
        <w:rPr>
          <w:color w:val="0563C1"/>
          <w:sz w:val="28"/>
          <w:u w:val="single"/>
        </w:rPr>
        <w:instrText>HYPERLINK "mailto:med.practic@mail.ru"</w:instrText>
      </w:r>
      <w:r>
        <w:rPr>
          <w:color w:val="0563C1"/>
          <w:sz w:val="28"/>
          <w:u w:val="single"/>
        </w:rPr>
        <w:fldChar w:fldCharType="separate"/>
      </w:r>
      <w:r>
        <w:rPr>
          <w:color w:val="0563C1"/>
          <w:sz w:val="28"/>
          <w:u w:val="single"/>
        </w:rPr>
        <w:t>med</w:t>
      </w:r>
      <w:r>
        <w:rPr>
          <w:color w:val="0563C1"/>
          <w:sz w:val="28"/>
          <w:u w:val="single"/>
        </w:rPr>
        <w:t>.</w:t>
      </w:r>
      <w:r>
        <w:rPr>
          <w:color w:val="0563C1"/>
          <w:sz w:val="28"/>
          <w:u w:val="single"/>
        </w:rPr>
        <w:t>practic</w:t>
      </w:r>
      <w:r>
        <w:rPr>
          <w:color w:val="0563C1"/>
          <w:sz w:val="28"/>
          <w:u w:val="single"/>
        </w:rPr>
        <w:t>@</w:t>
      </w:r>
      <w:r>
        <w:rPr>
          <w:color w:val="0563C1"/>
          <w:sz w:val="28"/>
          <w:u w:val="single"/>
        </w:rPr>
        <w:t>mail</w:t>
      </w:r>
      <w:r>
        <w:rPr>
          <w:color w:val="0563C1"/>
          <w:sz w:val="28"/>
          <w:u w:val="single"/>
        </w:rPr>
        <w:t>.</w:t>
      </w:r>
      <w:r>
        <w:rPr>
          <w:color w:val="0563C1"/>
          <w:sz w:val="28"/>
          <w:u w:val="single"/>
        </w:rPr>
        <w:t>ru</w:t>
      </w:r>
      <w:r>
        <w:rPr>
          <w:color w:val="0563C1"/>
          <w:sz w:val="28"/>
          <w:u w:val="single"/>
        </w:rPr>
        <w:fldChar w:fldCharType="end"/>
      </w:r>
    </w:p>
    <w:p w14:paraId="02000000">
      <w:pPr>
        <w:rPr>
          <w:sz w:val="28"/>
        </w:rPr>
      </w:pPr>
      <w:r>
        <w:t xml:space="preserve">                                                                                        </w:t>
      </w:r>
      <w:bookmarkStart w:id="1" w:name="_Hlk163806926"/>
      <w:r>
        <w:rPr>
          <w:sz w:val="28"/>
        </w:rPr>
        <w:t xml:space="preserve">Депутату Государственной Думы </w:t>
      </w:r>
      <w:r>
        <w:rPr>
          <w:sz w:val="28"/>
        </w:rPr>
        <w:t xml:space="preserve">                </w:t>
      </w:r>
    </w:p>
    <w:p w14:paraId="03000000">
      <w:pPr>
        <w:rPr>
          <w:sz w:val="28"/>
        </w:rPr>
      </w:pPr>
      <w:r>
        <w:rPr>
          <w:sz w:val="28"/>
        </w:rPr>
        <w:t xml:space="preserve">                                </w:t>
      </w:r>
      <w:r>
        <w:rPr>
          <w:sz w:val="28"/>
        </w:rPr>
        <w:t xml:space="preserve">                     </w:t>
      </w:r>
      <w:r>
        <w:rPr>
          <w:sz w:val="28"/>
        </w:rPr>
        <w:t>Федерального Собрания Российской Федерации</w:t>
      </w:r>
    </w:p>
    <w:p w14:paraId="04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sz w:val="28"/>
        </w:rPr>
        <w:t xml:space="preserve">    </w:t>
      </w:r>
      <w:r>
        <w:rPr>
          <w:sz w:val="28"/>
        </w:rPr>
        <w:t>Власовой В.В.</w:t>
      </w:r>
    </w:p>
    <w:p w14:paraId="05000000">
      <w:bookmarkEnd w:id="1"/>
      <w:r>
        <w:t xml:space="preserve">  № </w:t>
      </w:r>
      <w:r>
        <w:t>01</w:t>
      </w:r>
    </w:p>
    <w:p w14:paraId="06000000">
      <w:r>
        <w:t>11.04.2024</w:t>
      </w:r>
    </w:p>
    <w:p w14:paraId="07000000"/>
    <w:p w14:paraId="08000000">
      <w:pPr>
        <w:rPr>
          <w:b w:val="1"/>
          <w:i w:val="1"/>
          <w:sz w:val="28"/>
        </w:rPr>
      </w:pPr>
      <w:r>
        <w:t xml:space="preserve">                                                </w:t>
      </w:r>
      <w:r>
        <w:rPr>
          <w:b w:val="1"/>
          <w:i w:val="1"/>
          <w:sz w:val="28"/>
        </w:rPr>
        <w:t>Уважаемая Вероника Валериевна!</w:t>
      </w:r>
    </w:p>
    <w:p w14:paraId="09000000">
      <w:pPr>
        <w:rPr>
          <w:b w:val="1"/>
          <w:i w:val="1"/>
          <w:sz w:val="28"/>
        </w:rPr>
      </w:pPr>
    </w:p>
    <w:p w14:paraId="0A000000">
      <w:pPr>
        <w:rPr>
          <w:b w:val="1"/>
          <w:i w:val="1"/>
          <w:sz w:val="28"/>
        </w:rPr>
      </w:pP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               </w:t>
      </w:r>
      <w:r>
        <w:rPr>
          <w:sz w:val="28"/>
        </w:rPr>
        <w:t xml:space="preserve">Во время рабочей поездки Президента Российской Федерации Путина В.В. по Дальневосточному федеральному округу 10-11 января 2024 года был поднят вопрос о досрочном пенсионном обеспечении медицинских работников организаций частной системы здравоохранения. По </w:t>
      </w:r>
      <w:r>
        <w:rPr>
          <w:sz w:val="28"/>
        </w:rPr>
        <w:t>результатам данной поездки Президентом было дано поручение рассмотреть данный вопрос.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 xml:space="preserve">                  </w:t>
      </w:r>
      <w:r>
        <w:rPr>
          <w:sz w:val="28"/>
        </w:rPr>
        <w:t>В связи с этим группой депутатов Государственной Думы был внесен законопроект № 536503-8, который предполагает внесение изменений в Федеральный закон «О страховых пенсиях</w:t>
      </w:r>
      <w:r>
        <w:rPr>
          <w:sz w:val="28"/>
        </w:rPr>
        <w:t>». Предлагается установить, что право на досрочное пенсионное обеспечение приобретают медицинские работники, работавшие не только в учреждениях здравоохранения, но и в иных медицинских организациях при условии оказания ими медицинской помощи в рамках обяза</w:t>
      </w:r>
      <w:r>
        <w:rPr>
          <w:sz w:val="28"/>
        </w:rPr>
        <w:t>тельного медицинского страхования.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 xml:space="preserve">                 </w:t>
      </w:r>
      <w:r>
        <w:rPr>
          <w:sz w:val="28"/>
        </w:rPr>
        <w:t>Следует обратить внимание, что предлагаемая формулировка нормы закона не обеспечивает реализацию пенсионных прав большого количества медицинских работников, не участвующих в оказании медпомощи в рамках ОМС. Не секрет, что</w:t>
      </w:r>
      <w:r>
        <w:rPr>
          <w:sz w:val="28"/>
        </w:rPr>
        <w:t xml:space="preserve"> во многих регионах участие частных медицинских организаций в системе ОМС ограничивается путем недоведения до них плановых объемов оказания медпомощи, либо утверждения этих плановых объемов в минимальных размерах. Кроме того, сам факт участия в оказании ме</w:t>
      </w:r>
      <w:r>
        <w:rPr>
          <w:sz w:val="28"/>
        </w:rPr>
        <w:t>дицинской помощи в рамках ОМС не говорит о выполняемой медработником нагрузке.</w:t>
      </w:r>
    </w:p>
    <w:p w14:paraId="0E000000">
      <w:pPr>
        <w:ind/>
        <w:jc w:val="both"/>
        <w:rPr>
          <w:sz w:val="28"/>
        </w:rPr>
      </w:pPr>
      <w:r>
        <w:rPr>
          <w:sz w:val="28"/>
        </w:rPr>
        <w:t xml:space="preserve">                </w:t>
      </w:r>
      <w:r>
        <w:rPr>
          <w:sz w:val="28"/>
        </w:rPr>
        <w:t>Аналогичная ситуация с ограничением пенсионных прав долгое время существовала в другой социальной сфере – сфере образования. Правом досрочного пенсионного обеспечения пользовали</w:t>
      </w:r>
      <w:r>
        <w:rPr>
          <w:sz w:val="28"/>
        </w:rPr>
        <w:t>сь лица, осуществлявшие педагогическую деятельность исключительно в учреждениях для детей. Так было, пока Федеральным законом от 30.04.2021 № 117-ФЗ слово «учреждениях» не было заменено словом «организациях». Это позволило распространить досрочное пенсионн</w:t>
      </w:r>
      <w:r>
        <w:rPr>
          <w:sz w:val="28"/>
        </w:rPr>
        <w:t>ое обеспечение на всех педагогических работников независимо от организационно-правовой формы работодателя.</w:t>
      </w:r>
    </w:p>
    <w:p w14:paraId="0F000000">
      <w:pPr>
        <w:ind/>
        <w:jc w:val="both"/>
        <w:rPr>
          <w:sz w:val="28"/>
        </w:rPr>
      </w:pPr>
      <w:r>
        <w:rPr>
          <w:sz w:val="28"/>
        </w:rPr>
        <w:t xml:space="preserve">                       </w:t>
      </w:r>
      <w:r>
        <w:rPr>
          <w:sz w:val="28"/>
        </w:rPr>
        <w:t>По мнению большинства медицинского сообщества частной системы здравоохранения, справедливым было бы аналогичное решение в отношении медицинских работ</w:t>
      </w:r>
      <w:r>
        <w:rPr>
          <w:sz w:val="28"/>
        </w:rPr>
        <w:t>ников, предполагающее замену в пункте 20 части 1 статьи 30 Федерального закона «О страховых пенсиях» словосочетания «учреждениях здравоохранения» на «медицинских организациях».</w:t>
      </w:r>
      <w:r>
        <w:rPr>
          <w:sz w:val="28"/>
        </w:rPr>
        <w:tab/>
      </w:r>
    </w:p>
    <w:p w14:paraId="10000000">
      <w:pPr>
        <w:ind/>
        <w:jc w:val="both"/>
        <w:rPr>
          <w:sz w:val="28"/>
        </w:rPr>
      </w:pPr>
      <w:r>
        <w:rPr>
          <w:sz w:val="28"/>
        </w:rPr>
        <w:t xml:space="preserve">                      </w:t>
      </w:r>
      <w:r>
        <w:rPr>
          <w:sz w:val="28"/>
        </w:rPr>
        <w:t>Просим Вас обратить внимание на сложившуюся несправедливость в пенсионном обес</w:t>
      </w:r>
      <w:r>
        <w:rPr>
          <w:sz w:val="28"/>
        </w:rPr>
        <w:t>печении медицинских работников частной системы здравоохранения и предложить поправки в действующее законодательство в целях устранения зависимости права на досрочное пенсионное обеспечение от организационно-правовой формы работодателя.</w:t>
      </w:r>
    </w:p>
    <w:p w14:paraId="11000000">
      <w:pPr>
        <w:rPr>
          <w:sz w:val="28"/>
        </w:rPr>
      </w:pPr>
    </w:p>
    <w:p w14:paraId="12000000">
      <w:pPr>
        <w:rPr>
          <w:sz w:val="28"/>
        </w:rPr>
      </w:pPr>
      <w:r>
        <w:rPr>
          <w:sz w:val="28"/>
        </w:rPr>
        <w:t xml:space="preserve"> </w:t>
      </w:r>
    </w:p>
    <w:p w14:paraId="13000000">
      <w:pPr>
        <w:rPr>
          <w:sz w:val="28"/>
        </w:rPr>
      </w:pPr>
      <w:r>
        <w:rPr>
          <w:sz w:val="28"/>
        </w:rPr>
        <w:t>С уважением,</w:t>
      </w:r>
    </w:p>
    <w:p w14:paraId="14000000">
      <w:pPr>
        <w:rPr>
          <w:sz w:val="28"/>
        </w:rPr>
      </w:pPr>
    </w:p>
    <w:p w14:paraId="15000000">
      <w:pPr>
        <w:rPr>
          <w:sz w:val="28"/>
        </w:rPr>
      </w:pPr>
      <w:r>
        <w:rPr>
          <w:sz w:val="28"/>
        </w:rPr>
        <w:t>Пр</w:t>
      </w:r>
      <w:r>
        <w:rPr>
          <w:sz w:val="28"/>
        </w:rPr>
        <w:t>едседатель Правления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</w:t>
      </w:r>
      <w:r>
        <w:rPr>
          <w:sz w:val="28"/>
        </w:rPr>
        <w:tab/>
      </w:r>
      <w:r>
        <w:rPr>
          <w:sz w:val="28"/>
        </w:rPr>
        <w:t>И.Я. Хайновская</w:t>
      </w:r>
    </w:p>
    <w:p w14:paraId="16000000">
      <w:pPr>
        <w:rPr>
          <w:sz w:val="28"/>
        </w:rPr>
      </w:pPr>
      <w:r>
        <w:rPr>
          <w:sz w:val="28"/>
        </w:rPr>
        <w:t>Ассоциации</w:t>
      </w: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tbl>
      <w:tblPr>
        <w:tblStyle w:val="Style_1"/>
        <w:tblW w:type="auto" w:w="0"/>
        <w:tblLayout w:type="fixed"/>
      </w:tblPr>
      <w:tblGrid>
        <w:gridCol w:w="5328"/>
        <w:gridCol w:w="4860"/>
      </w:tblGrid>
      <w:tr>
        <w:tc>
          <w:tcPr>
            <w:tcW w:type="dxa" w:w="5328"/>
            <w:shd w:fill="auto" w:val="clear"/>
          </w:tcPr>
          <w:p w14:paraId="1B000000">
            <w:pPr>
              <w:pStyle w:val="Style_2"/>
              <w:tabs>
                <w:tab w:leader="none" w:pos="5304" w:val="left"/>
              </w:tabs>
              <w:ind/>
              <w:jc w:val="left"/>
              <w:rPr>
                <w:b w:val="0"/>
                <w:sz w:val="24"/>
              </w:rPr>
            </w:pPr>
          </w:p>
        </w:tc>
        <w:tc>
          <w:tcPr>
            <w:tcW w:type="dxa" w:w="4860"/>
            <w:shd w:fill="auto" w:val="clear"/>
          </w:tcPr>
          <w:p w14:paraId="1C000000">
            <w:pPr>
              <w:pStyle w:val="Style_2"/>
              <w:tabs>
                <w:tab w:leader="none" w:pos="5304" w:val="left"/>
              </w:tabs>
              <w:ind/>
              <w:rPr>
                <w:b w:val="0"/>
                <w:sz w:val="24"/>
              </w:rPr>
            </w:pPr>
          </w:p>
        </w:tc>
      </w:tr>
    </w:tbl>
    <w:p w14:paraId="1D000000">
      <w:pPr>
        <w:ind/>
        <w:jc w:val="both"/>
        <w:rPr>
          <w:sz w:val="28"/>
        </w:rPr>
      </w:pPr>
    </w:p>
    <w:sectPr>
      <w:pgSz w:h="16838" w:orient="portrait" w:w="11906"/>
      <w:pgMar w:bottom="1134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footer"/>
    <w:basedOn w:val="Style_3"/>
    <w:link w:val="Style_10_ch"/>
    <w:pPr>
      <w:tabs>
        <w:tab w:leader="none" w:pos="4677" w:val="center"/>
        <w:tab w:leader="none" w:pos="9355" w:val="right"/>
      </w:tabs>
      <w:ind/>
    </w:pPr>
    <w:rPr>
      <w:sz w:val="20"/>
    </w:rPr>
  </w:style>
  <w:style w:styleId="Style_10_ch" w:type="character">
    <w:name w:val="footer"/>
    <w:basedOn w:val="Style_3_ch"/>
    <w:link w:val="Style_10"/>
    <w:rPr>
      <w:sz w:val="20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3"/>
    <w:next w:val="Style_3"/>
    <w:link w:val="Style_13_ch"/>
    <w:uiPriority w:val="9"/>
    <w:qFormat/>
    <w:pPr>
      <w:keepNext w:val="1"/>
      <w:ind/>
      <w:jc w:val="center"/>
      <w:outlineLvl w:val="0"/>
    </w:pPr>
    <w:rPr>
      <w:rFonts w:ascii="Baskerville Win95BT" w:hAnsi="Baskerville Win95BT"/>
      <w:b w:val="1"/>
      <w:sz w:val="23"/>
    </w:rPr>
  </w:style>
  <w:style w:styleId="Style_13_ch" w:type="character">
    <w:name w:val="heading 1"/>
    <w:basedOn w:val="Style_3_ch"/>
    <w:link w:val="Style_13"/>
    <w:rPr>
      <w:rFonts w:ascii="Baskerville Win95BT" w:hAnsi="Baskerville Win95BT"/>
      <w:b w:val="1"/>
      <w:sz w:val="23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3"/>
    <w:link w:val="Style_20_ch"/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basedOn w:val="Style_3"/>
    <w:link w:val="Style_22_ch"/>
    <w:uiPriority w:val="11"/>
    <w:qFormat/>
    <w:pPr>
      <w:ind/>
      <w:jc w:val="center"/>
    </w:pPr>
    <w:rPr>
      <w:rFonts w:ascii="Baltica" w:hAnsi="Baltica"/>
      <w:b w:val="1"/>
      <w:sz w:val="72"/>
    </w:rPr>
  </w:style>
  <w:style w:styleId="Style_22_ch" w:type="character">
    <w:name w:val="Subtitle"/>
    <w:basedOn w:val="Style_3_ch"/>
    <w:link w:val="Style_22"/>
    <w:rPr>
      <w:rFonts w:ascii="Baltica" w:hAnsi="Baltica"/>
      <w:b w:val="1"/>
      <w:sz w:val="72"/>
    </w:rPr>
  </w:style>
  <w:style w:styleId="Style_2" w:type="paragraph">
    <w:name w:val="Title"/>
    <w:basedOn w:val="Style_3"/>
    <w:link w:val="Style_2_ch"/>
    <w:uiPriority w:val="10"/>
    <w:qFormat/>
    <w:pPr>
      <w:ind/>
      <w:jc w:val="center"/>
    </w:pPr>
    <w:rPr>
      <w:b w:val="1"/>
      <w:sz w:val="28"/>
    </w:rPr>
  </w:style>
  <w:style w:styleId="Style_2_ch" w:type="character">
    <w:name w:val="Title"/>
    <w:basedOn w:val="Style_3_ch"/>
    <w:link w:val="Style_2"/>
    <w:rPr>
      <w:b w:val="1"/>
      <w:sz w:val="28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white-space-normal"/>
    <w:link w:val="Style_26_ch"/>
  </w:style>
  <w:style w:styleId="Style_26_ch" w:type="character">
    <w:name w:val="white-space-normal"/>
    <w:link w:val="Style_26"/>
  </w:style>
  <w:style w:styleId="Style_27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2024-11-01T06:34:42Z</dcterms:modified>
</cp:coreProperties>
</file>